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BC99" w14:textId="77777777" w:rsidR="00FA3A76" w:rsidRDefault="00FA3A76" w:rsidP="0045143C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52E558D9" w14:textId="77777777" w:rsidR="00FA3A76" w:rsidRDefault="00FA3A76" w:rsidP="0045143C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46F8F226" w14:textId="77777777" w:rsidR="00FA3A76" w:rsidRDefault="00FA3A76" w:rsidP="0045143C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41AD033F" w14:textId="77777777" w:rsidR="00FA3A76" w:rsidRDefault="00FA3A76" w:rsidP="0045143C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49129C57" w14:textId="77777777" w:rsidR="00FA3A76" w:rsidRDefault="00FA3A76" w:rsidP="0045143C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0C168967" w14:textId="77777777" w:rsidR="00FA3A76" w:rsidRDefault="00FA3A76" w:rsidP="00933E2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1388ECB3" w14:textId="77777777" w:rsidR="00933E2A" w:rsidRDefault="00933E2A" w:rsidP="00933E2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381CACB0" w14:textId="6CBC3A54" w:rsidR="0045143C" w:rsidRPr="0045143C" w:rsidRDefault="0045143C" w:rsidP="00933E2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45143C">
        <w:rPr>
          <w:rFonts w:ascii="Verdana" w:hAnsi="Verdana"/>
          <w:b/>
          <w:bCs/>
          <w:sz w:val="20"/>
          <w:szCs w:val="20"/>
        </w:rPr>
        <w:t>KLAUZULA INFORMACYJNA</w:t>
      </w:r>
    </w:p>
    <w:p w14:paraId="3F19B627" w14:textId="53BC9423" w:rsidR="0045143C" w:rsidRDefault="00FA3A76" w:rsidP="00933E2A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967369E" wp14:editId="209DDA9C">
            <wp:simplePos x="2238375" y="638175"/>
            <wp:positionH relativeFrom="margin">
              <wp:align>left</wp:align>
            </wp:positionH>
            <wp:positionV relativeFrom="margin">
              <wp:align>top</wp:align>
            </wp:positionV>
            <wp:extent cx="944880" cy="1779905"/>
            <wp:effectExtent l="0" t="0" r="7620" b="0"/>
            <wp:wrapSquare wrapText="bothSides"/>
            <wp:docPr id="3638318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143C" w:rsidRPr="0045143C">
        <w:rPr>
          <w:rFonts w:ascii="Verdana" w:hAnsi="Verdana"/>
          <w:sz w:val="20"/>
          <w:szCs w:val="20"/>
        </w:rPr>
        <w:t>(dla składających skargi/wnioski)</w:t>
      </w:r>
    </w:p>
    <w:p w14:paraId="5FBCC4DB" w14:textId="77777777" w:rsidR="0045143C" w:rsidRDefault="0045143C" w:rsidP="0045143C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7DF2822" w14:textId="77777777" w:rsidR="0045143C" w:rsidRPr="0045143C" w:rsidRDefault="0045143C" w:rsidP="0045143C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7E8B0C5" w14:textId="67EC5CDF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Wypełniając obowiązek informacyjny wynikający z rozporządzenia Parlamentu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Europejskiego i Rady (UE) 2016/679 z 27.04.2016 r. w sprawie ochrony osób fizycznych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w związku z przetwarzaniem danych osobowych i w sprawie swobodnego przepływu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takich danych oraz uchylenia dyrektywy 95/46/WE (ogólne rozporządzenie o ochronie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danych) (Dz.U. UE. L. z 2016 r. Nr 119, str. 1) – dalej RODO, informujemy że:</w:t>
      </w:r>
    </w:p>
    <w:p w14:paraId="13957B92" w14:textId="567D62FF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 xml:space="preserve">1. Administratorem Państwa danych osobowych jest Sieć Badawcza Łukasiewicz </w:t>
      </w:r>
      <w:r w:rsidR="00034B52">
        <w:rPr>
          <w:rFonts w:ascii="Verdana" w:hAnsi="Verdana"/>
          <w:sz w:val="20"/>
          <w:szCs w:val="20"/>
        </w:rPr>
        <w:t xml:space="preserve">- </w:t>
      </w:r>
      <w:r w:rsidRPr="0045143C">
        <w:rPr>
          <w:rFonts w:ascii="Verdana" w:hAnsi="Verdana"/>
          <w:sz w:val="20"/>
          <w:szCs w:val="20"/>
        </w:rPr>
        <w:t>Instytut C</w:t>
      </w:r>
      <w:r>
        <w:rPr>
          <w:rFonts w:ascii="Verdana" w:hAnsi="Verdana"/>
          <w:sz w:val="20"/>
          <w:szCs w:val="20"/>
        </w:rPr>
        <w:t>hemii Surowców Odnawialnych (dalej Łukasiewicz</w:t>
      </w:r>
      <w:r w:rsidR="00FA3A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="00FA3A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ICSO). </w:t>
      </w:r>
      <w:r w:rsidRPr="0045143C">
        <w:rPr>
          <w:rFonts w:ascii="Verdana" w:hAnsi="Verdana"/>
          <w:sz w:val="20"/>
          <w:szCs w:val="20"/>
        </w:rPr>
        <w:t>Z „Administratorem” można się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 xml:space="preserve">skontaktować </w:t>
      </w:r>
      <w:r>
        <w:rPr>
          <w:rFonts w:ascii="Verdana" w:hAnsi="Verdana"/>
          <w:sz w:val="20"/>
          <w:szCs w:val="20"/>
        </w:rPr>
        <w:t xml:space="preserve">                     </w:t>
      </w:r>
      <w:r w:rsidRPr="0045143C">
        <w:rPr>
          <w:rFonts w:ascii="Verdana" w:hAnsi="Verdana"/>
          <w:sz w:val="20"/>
          <w:szCs w:val="20"/>
        </w:rPr>
        <w:t>w następujący sposób:</w:t>
      </w:r>
    </w:p>
    <w:p w14:paraId="68B23D38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a) listownie: ul. Energetyków 9, 47-225 Kędzierzyn-Koźle</w:t>
      </w:r>
    </w:p>
    <w:p w14:paraId="18E37B7E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b) telefonicznie: + 48 77 487 34 70</w:t>
      </w:r>
    </w:p>
    <w:p w14:paraId="6A0544B2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c) przez e-mail: secretariat@icso.lukasiewicz.gov.pl</w:t>
      </w:r>
    </w:p>
    <w:p w14:paraId="7F413DE9" w14:textId="77777777" w:rsidR="00FA3A76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 xml:space="preserve">2. Administrator wyznaczył inspektora ochrony danych, z którym można się kontaktować w sprawach związanych z przetwarzaniem danych osobowych oraz korzystaniem z praw, które Państwu w związku </w:t>
      </w:r>
      <w:r>
        <w:rPr>
          <w:rFonts w:ascii="Verdana" w:hAnsi="Verdana"/>
          <w:sz w:val="20"/>
          <w:szCs w:val="20"/>
        </w:rPr>
        <w:t xml:space="preserve">                     </w:t>
      </w:r>
      <w:r w:rsidRPr="0045143C">
        <w:rPr>
          <w:rFonts w:ascii="Verdana" w:hAnsi="Verdana"/>
          <w:sz w:val="20"/>
          <w:szCs w:val="20"/>
        </w:rPr>
        <w:t>z tym przysługują. Z inspektorem możesz się kontaktować przez</w:t>
      </w:r>
      <w:r w:rsidR="00FA3A76">
        <w:rPr>
          <w:rFonts w:ascii="Verdana" w:hAnsi="Verdana"/>
          <w:sz w:val="20"/>
          <w:szCs w:val="20"/>
        </w:rPr>
        <w:t>:</w:t>
      </w:r>
    </w:p>
    <w:p w14:paraId="05B59F9E" w14:textId="77777777" w:rsidR="00945566" w:rsidRDefault="00FA3A76" w:rsidP="0045143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</w:t>
      </w:r>
      <w:r w:rsidR="0045143C" w:rsidRPr="0045143C">
        <w:rPr>
          <w:rFonts w:ascii="Verdana" w:hAnsi="Verdana"/>
          <w:sz w:val="20"/>
          <w:szCs w:val="20"/>
        </w:rPr>
        <w:t xml:space="preserve"> e-mail: iod@icso.lukasiewicz.gov.pl ,</w:t>
      </w:r>
    </w:p>
    <w:p w14:paraId="64870ADC" w14:textId="6370B5A2" w:rsidR="00945566" w:rsidRDefault="00945566" w:rsidP="0045143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telefonicznie: +48 </w:t>
      </w:r>
      <w:r w:rsidRPr="00945566">
        <w:rPr>
          <w:rFonts w:ascii="Verdana" w:hAnsi="Verdana"/>
          <w:sz w:val="20"/>
          <w:szCs w:val="20"/>
        </w:rPr>
        <w:t>664 718</w:t>
      </w:r>
      <w:r>
        <w:rPr>
          <w:rFonts w:ascii="Verdana" w:hAnsi="Verdana"/>
          <w:sz w:val="20"/>
          <w:szCs w:val="20"/>
        </w:rPr>
        <w:t> </w:t>
      </w:r>
      <w:r w:rsidRPr="00945566">
        <w:rPr>
          <w:rFonts w:ascii="Verdana" w:hAnsi="Verdana"/>
          <w:sz w:val="20"/>
          <w:szCs w:val="20"/>
        </w:rPr>
        <w:t>936</w:t>
      </w:r>
    </w:p>
    <w:p w14:paraId="3840B5B2" w14:textId="4FF5E44A" w:rsidR="0045143C" w:rsidRPr="0045143C" w:rsidRDefault="00945566" w:rsidP="0045143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</w:t>
      </w:r>
      <w:r w:rsidR="0045143C" w:rsidRPr="0045143C">
        <w:rPr>
          <w:rFonts w:ascii="Verdana" w:hAnsi="Verdana"/>
          <w:sz w:val="20"/>
          <w:szCs w:val="20"/>
        </w:rPr>
        <w:t xml:space="preserve"> lub pisemnie na w/w adres</w:t>
      </w:r>
      <w:r w:rsidR="0045143C">
        <w:rPr>
          <w:rFonts w:ascii="Verdana" w:hAnsi="Verdana"/>
          <w:sz w:val="20"/>
          <w:szCs w:val="20"/>
        </w:rPr>
        <w:t xml:space="preserve"> z dopiskiem IOD</w:t>
      </w:r>
      <w:r w:rsidR="0045143C" w:rsidRPr="0045143C">
        <w:rPr>
          <w:rFonts w:ascii="Verdana" w:hAnsi="Verdana"/>
          <w:sz w:val="20"/>
          <w:szCs w:val="20"/>
        </w:rPr>
        <w:t>.</w:t>
      </w:r>
    </w:p>
    <w:p w14:paraId="2587336D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3. Państwa dane osobowe będą przetwarzane w celu:</w:t>
      </w:r>
    </w:p>
    <w:p w14:paraId="35D1C742" w14:textId="7BC90B45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1) analizy otrzymanego zgłoszenia i przeprowadzenia postępowania wyjaśniającego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 xml:space="preserve">zgodnie </w:t>
      </w:r>
      <w:r>
        <w:rPr>
          <w:rFonts w:ascii="Verdana" w:hAnsi="Verdana"/>
          <w:sz w:val="20"/>
          <w:szCs w:val="20"/>
        </w:rPr>
        <w:t xml:space="preserve">                          </w:t>
      </w:r>
      <w:r w:rsidRPr="0045143C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procedurami obowiązującymi u Administratora oraz przepisami prawa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 xml:space="preserve">powszechnie obowiązującymi, </w:t>
      </w:r>
      <w:r>
        <w:rPr>
          <w:rFonts w:ascii="Verdana" w:hAnsi="Verdana"/>
          <w:sz w:val="20"/>
          <w:szCs w:val="20"/>
        </w:rPr>
        <w:t xml:space="preserve">                   </w:t>
      </w:r>
      <w:r w:rsidRPr="0045143C">
        <w:rPr>
          <w:rFonts w:ascii="Verdana" w:hAnsi="Verdana"/>
          <w:sz w:val="20"/>
          <w:szCs w:val="20"/>
        </w:rPr>
        <w:t>w szczególności ustawą z dnia 1 marca 2018 r. o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przeciwdziałaniu praniu pieniędzy oraz finansowaniu terroryzmu – podstawą prawną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jest realizacja obowiązku prawnego w zakresie wdrożenia procedury zgłaszania przez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pracowników lub inne osoby wykonujące czynności na rzecz Administratora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rzeczywistych lub potencjalnych naruszeń przepisów w związku z uzasadnionym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interesem Administratora jakim jest przeciwdziałanie nadużyciom (art. 6 ust. 1 lit. c w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zw. z art. 6 ust. 1 lit. f RODO),</w:t>
      </w:r>
    </w:p>
    <w:p w14:paraId="3CF45ABA" w14:textId="2CD68E28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2) wykrywania i ograniczania nadużyć związanych z działalnością Administratora oraz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prowadzenia postępowań wyjaśniających. Podstawą prawną przetwarzania jest prawnie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uzasadniony interes Administratora (art. 6 ust. 1 lit. f RODO) polegający na ochronie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interesów majątkowych Administratora przed ewentualnymi nadużyciami,</w:t>
      </w:r>
    </w:p>
    <w:p w14:paraId="2D2D7718" w14:textId="21CFA491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3) ustalenia lub dochodzenia ewentualnych roszczeń lub obrony przed takimi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roszczeniami przez Administratora. Podstawą prawną przetwarzania danych jest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prawnie uzasadniony interes administratora danych (art. 6 ust. 1 lit. f RODO)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polegający na umożliwieniu ustalenia, dochodzenia lub obrony przed roszczeniami.</w:t>
      </w:r>
    </w:p>
    <w:p w14:paraId="443EA8B0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4. Umowa powierzenia</w:t>
      </w:r>
    </w:p>
    <w:p w14:paraId="32DA4107" w14:textId="6EA23615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Łukasiewicz</w:t>
      </w:r>
      <w:r w:rsidR="0094556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-</w:t>
      </w:r>
      <w:r w:rsidR="0094556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ICSO</w:t>
      </w:r>
      <w:r>
        <w:rPr>
          <w:rFonts w:ascii="Verdana" w:hAnsi="Verdana"/>
          <w:sz w:val="20"/>
          <w:szCs w:val="20"/>
        </w:rPr>
        <w:t xml:space="preserve">, </w:t>
      </w:r>
      <w:r w:rsidRPr="0045143C">
        <w:rPr>
          <w:rFonts w:ascii="Verdana" w:hAnsi="Verdana"/>
          <w:sz w:val="20"/>
          <w:szCs w:val="20"/>
        </w:rPr>
        <w:t>może zawrzeć umowy powierzenia w zakresie:</w:t>
      </w:r>
    </w:p>
    <w:p w14:paraId="0D7AFA37" w14:textId="364D1F8A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1) osoby/podmioty trzecie, które zaangażowane są w proces rozpatrywania skarg i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wniosków (w tym m.in. kancelarie prawne, podmioty doradcze);</w:t>
      </w:r>
    </w:p>
    <w:p w14:paraId="6D74F369" w14:textId="3CF0E914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2) dostawcom usług zaopatrujących Łukasiewicz</w:t>
      </w:r>
      <w:r w:rsidR="0094556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-</w:t>
      </w:r>
      <w:r w:rsidR="0094556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ICSO w rozwiązania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techniczne oraz organizacyjne zapewniające sprawne zarządzanie (w szczególności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dostawcom usług teleinformatycznych, dostawcom sprzętu, firmom kurierskim i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pocztowym).</w:t>
      </w:r>
    </w:p>
    <w:p w14:paraId="2956AE73" w14:textId="0D5E13AC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 xml:space="preserve">5. Informacje o odbiorcach danych osobowych lub o kategoriach odbiorców, jeżeli 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istnieją: Policja, sądy, prokuratura, ABW, CBA oraz inne publicznoprawne organy, w tym organy kontroli.</w:t>
      </w:r>
    </w:p>
    <w:p w14:paraId="2DC1FF63" w14:textId="66569866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lastRenderedPageBreak/>
        <w:t>6. Przekazania danych osobowych do innych organów może wynikać z konieczności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dogłębnego zbadania skargi/wniosku lub w przypadku stwierdzenia, że Łukasiewic</w:t>
      </w:r>
      <w:r>
        <w:rPr>
          <w:rFonts w:ascii="Verdana" w:hAnsi="Verdana"/>
          <w:sz w:val="20"/>
          <w:szCs w:val="20"/>
        </w:rPr>
        <w:t xml:space="preserve">z - </w:t>
      </w:r>
      <w:r w:rsidRPr="0045143C">
        <w:rPr>
          <w:rFonts w:ascii="Verdana" w:hAnsi="Verdana"/>
          <w:sz w:val="20"/>
          <w:szCs w:val="20"/>
        </w:rPr>
        <w:t>ICSO  nie jest właściwe do jej/go rozpatrzenia. Przekazanie jej/go zgodnie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z właściwością.</w:t>
      </w:r>
    </w:p>
    <w:p w14:paraId="60AA70E5" w14:textId="1B2B575F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7. Administrator Danych Osobowych korzysta z Microsoft Office 365, co może spowodować przekazanie Państwa danych osobowych do państwa trzeciego. Regulamin korzystania z Usług Online w zakresie MS Office 365 oraz zobowiązania w odniesieniu do przetwarzania i zabezpieczania danych użytkownika oraz danych osobowych przez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usługi online określa dokumentacja Microsoft, w tym w szczególności:</w:t>
      </w:r>
    </w:p>
    <w:p w14:paraId="05B9F4CF" w14:textId="62E0542E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1) oświadczenie o ochronie prywatności - https://privacy.microsoft.com/pl/privacystatement;</w:t>
      </w:r>
    </w:p>
    <w:p w14:paraId="49F16717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2) umowa dotycząca usług Microsoft (Microsoft Services Agreement, MSA) -</w:t>
      </w:r>
    </w:p>
    <w:p w14:paraId="4D0CB88B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https://www.microsoft.com/pl-pl/servicesagreement/.</w:t>
      </w:r>
    </w:p>
    <w:p w14:paraId="441D6480" w14:textId="520E0B00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 xml:space="preserve">8. Dane osobowe będą przechowywane przez okres niezbędny do rozpatrzenia 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wniesionej przez Ciebie skargi lub wniosku, a następnie, jeśli chodzi o materiały archiwalne, przez czas wynikający z przepisów ustawy z dnia 14 lipca 1983 r. o narodowym zasobie archiwalnym i archiwach (Dz. U. z 2020 r. poz. 164) i regulacji wewnętrznych obowiązujących w Łukasiewicz - ICSO.</w:t>
      </w:r>
    </w:p>
    <w:p w14:paraId="5AEC9623" w14:textId="48E1B5FC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9. Nie będą Państwo podlegać decyzjom podejmowanym w sposób zautomatyzowany (bez udziału człowieka). Państwa dane osobowe nie będą również wykorzystywane do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profilowania.</w:t>
      </w:r>
    </w:p>
    <w:p w14:paraId="414898CE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10. Posiadają Państwo prawo:</w:t>
      </w:r>
    </w:p>
    <w:p w14:paraId="191ADED8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1) dostępu do swoich danych osobowych,</w:t>
      </w:r>
    </w:p>
    <w:p w14:paraId="36E3CD4D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2) sprostowania swoich danych osobowych,</w:t>
      </w:r>
    </w:p>
    <w:p w14:paraId="5C47CBBA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3) usunięcia swoich danych osobowych,</w:t>
      </w:r>
    </w:p>
    <w:p w14:paraId="7C588AE5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4) ograniczenia przetwarzania swoich danych osobowych,</w:t>
      </w:r>
    </w:p>
    <w:p w14:paraId="6BD5757D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5) cofnięcia zgody na przetwarzanie danych osobowych,</w:t>
      </w:r>
    </w:p>
    <w:p w14:paraId="770937D0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6) przenoszenia swoich danych osobowych,</w:t>
      </w:r>
    </w:p>
    <w:p w14:paraId="56607416" w14:textId="658556B0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7) wniesienia sprzeciwu wobec przetwarzania swoich danych osobowych z przyczyn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 xml:space="preserve">związanych </w:t>
      </w:r>
      <w:r w:rsidR="00FA3A76">
        <w:rPr>
          <w:rFonts w:ascii="Verdana" w:hAnsi="Verdana"/>
          <w:sz w:val="20"/>
          <w:szCs w:val="20"/>
        </w:rPr>
        <w:t xml:space="preserve">                             </w:t>
      </w:r>
      <w:r w:rsidRPr="0045143C">
        <w:rPr>
          <w:rFonts w:ascii="Verdana" w:hAnsi="Verdana"/>
          <w:sz w:val="20"/>
          <w:szCs w:val="20"/>
        </w:rPr>
        <w:t>z szczególną Państwa sytuacją zgodnie z art. 21 RODO.</w:t>
      </w:r>
    </w:p>
    <w:p w14:paraId="108C2893" w14:textId="0CBA70EA" w:rsidR="00FA3A76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Osobie, której dane są przetwarzane przysługuje prawo do złożenia skargi związanej z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przetwarzaniem jej danych osobowych przez Administratora Danych Osobowych lub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podmiot/organizację, której dane osobowe zostały przekazane do: Prezes Urzędu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 xml:space="preserve">Ochrony Danych Osobowych, ul. Stawki 2, 00-193 Warszawa, tel. 22 531 03 00, fax.22 531 03 01, </w:t>
      </w:r>
      <w:hyperlink r:id="rId7" w:history="1">
        <w:r w:rsidR="00FA3A76" w:rsidRPr="005B74F3">
          <w:rPr>
            <w:rStyle w:val="Hipercze"/>
            <w:rFonts w:ascii="Verdana" w:hAnsi="Verdana"/>
            <w:sz w:val="20"/>
            <w:szCs w:val="20"/>
          </w:rPr>
          <w:t>https://uodo.gov.pl/pl/p/kontakt</w:t>
        </w:r>
      </w:hyperlink>
      <w:r w:rsidR="00FA3A76">
        <w:rPr>
          <w:rFonts w:ascii="Verdana" w:hAnsi="Verdana"/>
          <w:sz w:val="20"/>
          <w:szCs w:val="20"/>
        </w:rPr>
        <w:t>.</w:t>
      </w:r>
    </w:p>
    <w:p w14:paraId="5A7E5554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___________________________________________________</w:t>
      </w:r>
    </w:p>
    <w:p w14:paraId="3B9C595F" w14:textId="77777777" w:rsidR="0045143C" w:rsidRPr="00933E2A" w:rsidRDefault="0045143C" w:rsidP="0045143C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r w:rsidRPr="00933E2A">
        <w:rPr>
          <w:rFonts w:ascii="Verdana" w:hAnsi="Verdana"/>
          <w:b/>
          <w:bCs/>
          <w:sz w:val="16"/>
          <w:szCs w:val="16"/>
        </w:rPr>
        <w:t>Definicje:</w:t>
      </w:r>
    </w:p>
    <w:p w14:paraId="3A243AA9" w14:textId="1545202C" w:rsidR="0045143C" w:rsidRPr="00933E2A" w:rsidRDefault="0045143C" w:rsidP="0045143C">
      <w:pPr>
        <w:spacing w:after="0"/>
        <w:jc w:val="both"/>
        <w:rPr>
          <w:rFonts w:ascii="Verdana" w:hAnsi="Verdana"/>
          <w:sz w:val="16"/>
          <w:szCs w:val="16"/>
        </w:rPr>
      </w:pPr>
      <w:r w:rsidRPr="00933E2A">
        <w:rPr>
          <w:rFonts w:ascii="Verdana" w:hAnsi="Verdana"/>
          <w:b/>
          <w:bCs/>
          <w:sz w:val="16"/>
          <w:szCs w:val="16"/>
        </w:rPr>
        <w:t>Dane osobowe/dane</w:t>
      </w:r>
      <w:r w:rsidRPr="00933E2A">
        <w:rPr>
          <w:rFonts w:ascii="Verdana" w:hAnsi="Verdana"/>
          <w:sz w:val="16"/>
          <w:szCs w:val="16"/>
        </w:rPr>
        <w:t xml:space="preserve"> - oznaczają informacje o zidentyfikowanej lub możliwej do zidentyfikowania osobie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fizycznej („osobie, której dane dotyczą”); możliwa do zidentyfikowania osoba fizyczna to osoba, którą można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 xml:space="preserve">bezpośrednio lub pośrednio zidentyfikować, w szczególności na podstawie identyfikatora takiego jak imię i 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nazwisko, numer identyfikacyjny, dane o lokalizacji, identyfikator internetowy lub jeden bądź kilka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szczególnych czynników określających fizyczną, fizjologiczną, genetyczną, psychiczną, ekonomiczną,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 xml:space="preserve">kulturową lub społeczną tożsamość osoby fizycznej; </w:t>
      </w:r>
    </w:p>
    <w:p w14:paraId="6E8DB96E" w14:textId="3AAFFE45" w:rsidR="0045143C" w:rsidRPr="00933E2A" w:rsidRDefault="0045143C" w:rsidP="0045143C">
      <w:pPr>
        <w:spacing w:after="0"/>
        <w:jc w:val="both"/>
        <w:rPr>
          <w:rFonts w:ascii="Verdana" w:hAnsi="Verdana"/>
          <w:sz w:val="16"/>
          <w:szCs w:val="16"/>
        </w:rPr>
      </w:pPr>
      <w:r w:rsidRPr="00933E2A">
        <w:rPr>
          <w:rFonts w:ascii="Verdana" w:hAnsi="Verdana"/>
          <w:b/>
          <w:bCs/>
          <w:sz w:val="16"/>
          <w:szCs w:val="16"/>
        </w:rPr>
        <w:t>Odbiorca danych</w:t>
      </w:r>
      <w:r w:rsidRPr="00933E2A">
        <w:rPr>
          <w:rFonts w:ascii="Verdana" w:hAnsi="Verdana"/>
          <w:sz w:val="16"/>
          <w:szCs w:val="16"/>
        </w:rPr>
        <w:t xml:space="preserve"> – oznacza osobę fizyczną lub prawną, organ publiczny, jednostkę lub inny podmiot,</w:t>
      </w:r>
      <w:r w:rsidR="0094556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któremu ujawnia się dane osobowe, niezależnie od tego, czy jest stroną trzecią. Organy publiczne, które</w:t>
      </w:r>
      <w:r w:rsidR="0094556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mogą otrzymywać dane osobowe w ramach konkretnego postępowania zgodnie z prawem powszechnie</w:t>
      </w:r>
      <w:r w:rsidR="0094556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obowiązującym, nie są jednak uznawane za odbiorców - przetwarzanie tych danych przez te organy publiczne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 xml:space="preserve">musi być zgodne z przepisami </w:t>
      </w:r>
      <w:r w:rsidR="00945566" w:rsidRPr="00933E2A">
        <w:rPr>
          <w:rFonts w:ascii="Verdana" w:hAnsi="Verdana"/>
          <w:sz w:val="16"/>
          <w:szCs w:val="16"/>
        </w:rPr>
        <w:t xml:space="preserve">                        </w:t>
      </w:r>
      <w:r w:rsidRPr="00933E2A">
        <w:rPr>
          <w:rFonts w:ascii="Verdana" w:hAnsi="Verdana"/>
          <w:sz w:val="16"/>
          <w:szCs w:val="16"/>
        </w:rPr>
        <w:t>o ochronie danych mającymi zastosowanie stosownie do celów przetwarzania;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przy czym przez sformułowanie, „strona trzecia” rozumie się osobę fizyczną lub prawną, organ publiczny,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jednostkę lub podmiot inny niż osoba, której dane dotyczą, administrator, podmiot przetwarzający czy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osoby, które – z upoważnienia Administratora lub podmiotu przetwarzającego – mogą przetwarzać dane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 xml:space="preserve">osobowe. </w:t>
      </w:r>
    </w:p>
    <w:p w14:paraId="72292388" w14:textId="5FA69837" w:rsidR="0045143C" w:rsidRPr="00933E2A" w:rsidRDefault="0045143C" w:rsidP="0045143C">
      <w:pPr>
        <w:spacing w:after="0"/>
        <w:jc w:val="both"/>
        <w:rPr>
          <w:rFonts w:ascii="Verdana" w:hAnsi="Verdana"/>
          <w:sz w:val="16"/>
          <w:szCs w:val="16"/>
        </w:rPr>
      </w:pPr>
      <w:r w:rsidRPr="00933E2A">
        <w:rPr>
          <w:rFonts w:ascii="Verdana" w:hAnsi="Verdana"/>
          <w:b/>
          <w:bCs/>
          <w:sz w:val="16"/>
          <w:szCs w:val="16"/>
        </w:rPr>
        <w:t>Przetwarzanie</w:t>
      </w:r>
      <w:r w:rsidRPr="00933E2A">
        <w:rPr>
          <w:rFonts w:ascii="Verdana" w:hAnsi="Verdana"/>
          <w:sz w:val="16"/>
          <w:szCs w:val="16"/>
        </w:rPr>
        <w:t xml:space="preserve"> - oznacza operację lub zestaw operacji wykonywanych na danych osobowych lub zestawach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danych osobowych w sposób zautomatyzowany lub niezautomatyzowany, taką jak zbieranie, utrwalanie,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organizowanie, porządkowanie, przechowywanie, adaptowanie lub modyfikowanie, pobieranie, przeglądanie,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wykorzystywanie, ujawnianie poprzez przesłanie, rozpowszechnianie lub innego rodzaju udostępnianie,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dopasowywanie lub łączenie, ograniczanie, usuwanie lub niszczenie;</w:t>
      </w:r>
    </w:p>
    <w:p w14:paraId="2146F364" w14:textId="7FF4F79E" w:rsidR="0045143C" w:rsidRPr="00933E2A" w:rsidRDefault="0045143C" w:rsidP="0045143C">
      <w:pPr>
        <w:spacing w:after="0"/>
        <w:jc w:val="both"/>
        <w:rPr>
          <w:rFonts w:ascii="Verdana" w:hAnsi="Verdana"/>
          <w:sz w:val="16"/>
          <w:szCs w:val="16"/>
        </w:rPr>
      </w:pPr>
      <w:r w:rsidRPr="00933E2A">
        <w:rPr>
          <w:rFonts w:ascii="Verdana" w:hAnsi="Verdana"/>
          <w:b/>
          <w:bCs/>
          <w:sz w:val="16"/>
          <w:szCs w:val="16"/>
        </w:rPr>
        <w:t>Zgoda osoby, której dane dotyczą</w:t>
      </w:r>
      <w:r w:rsidRPr="00933E2A">
        <w:rPr>
          <w:rFonts w:ascii="Verdana" w:hAnsi="Verdana"/>
          <w:sz w:val="16"/>
          <w:szCs w:val="16"/>
        </w:rPr>
        <w:t xml:space="preserve"> – oznacza dobrowolne, konkretne, świadome i jednoznaczne okazanie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woli, którym osoba, której dane dotyczą, w formie oświadczenia lub wyraźnego działania potwierdzającego,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przyzwala na przetwarzanie dotyczących jej danych osobowych.</w:t>
      </w:r>
    </w:p>
    <w:p w14:paraId="014EEADF" w14:textId="77777777" w:rsidR="00FA3A76" w:rsidRDefault="00FA3A76" w:rsidP="0045143C">
      <w:pPr>
        <w:spacing w:after="0"/>
        <w:jc w:val="both"/>
        <w:rPr>
          <w:rFonts w:ascii="Verdana" w:hAnsi="Verdana"/>
          <w:sz w:val="20"/>
          <w:szCs w:val="20"/>
        </w:rPr>
      </w:pPr>
    </w:p>
    <w:p w14:paraId="6CE4AFF4" w14:textId="77777777" w:rsidR="00FA3A76" w:rsidRDefault="00FA3A76" w:rsidP="0045143C">
      <w:pPr>
        <w:spacing w:after="0"/>
        <w:jc w:val="both"/>
        <w:rPr>
          <w:rFonts w:ascii="Verdana" w:hAnsi="Verdana"/>
          <w:sz w:val="20"/>
          <w:szCs w:val="20"/>
        </w:rPr>
      </w:pPr>
    </w:p>
    <w:p w14:paraId="39EACE46" w14:textId="35BB03C5" w:rsidR="00FA3A76" w:rsidRDefault="00FA3A76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FA3A76">
        <w:rPr>
          <w:rFonts w:ascii="Verdana" w:hAnsi="Verdana"/>
          <w:sz w:val="20"/>
          <w:szCs w:val="20"/>
        </w:rPr>
        <w:t>[Aktualizacje Luty 2026]</w:t>
      </w:r>
    </w:p>
    <w:sectPr w:rsidR="00FA3A76" w:rsidSect="0045143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D879" w14:textId="77777777" w:rsidR="000B5A14" w:rsidRDefault="000B5A14" w:rsidP="00FA3A76">
      <w:pPr>
        <w:spacing w:after="0" w:line="240" w:lineRule="auto"/>
      </w:pPr>
      <w:r>
        <w:separator/>
      </w:r>
    </w:p>
  </w:endnote>
  <w:endnote w:type="continuationSeparator" w:id="0">
    <w:p w14:paraId="651E9269" w14:textId="77777777" w:rsidR="000B5A14" w:rsidRDefault="000B5A14" w:rsidP="00FA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C2E5" w14:textId="67ED828A" w:rsidR="00FA3A76" w:rsidRPr="00FA3A76" w:rsidRDefault="00FA3A76">
    <w:pPr>
      <w:pStyle w:val="Stopka"/>
      <w:rPr>
        <w:rFonts w:ascii="Verdana" w:hAnsi="Verdana"/>
        <w:sz w:val="16"/>
        <w:szCs w:val="16"/>
      </w:rPr>
    </w:pPr>
    <w:r w:rsidRPr="00FA3A76">
      <w:rPr>
        <w:rFonts w:ascii="Verdana" w:hAnsi="Verdana"/>
        <w:sz w:val="16"/>
        <w:szCs w:val="16"/>
      </w:rPr>
      <w:t>Klauzula informacyjna dostępna na stronie: https://icso.lukasiewicz.gov.pl/dane-osobowe/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F402" w14:textId="77777777" w:rsidR="000B5A14" w:rsidRDefault="000B5A14" w:rsidP="00FA3A76">
      <w:pPr>
        <w:spacing w:after="0" w:line="240" w:lineRule="auto"/>
      </w:pPr>
      <w:r>
        <w:separator/>
      </w:r>
    </w:p>
  </w:footnote>
  <w:footnote w:type="continuationSeparator" w:id="0">
    <w:p w14:paraId="5BF7D3A7" w14:textId="77777777" w:rsidR="000B5A14" w:rsidRDefault="000B5A14" w:rsidP="00FA3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3C"/>
    <w:rsid w:val="00034B52"/>
    <w:rsid w:val="000B5A14"/>
    <w:rsid w:val="0045143C"/>
    <w:rsid w:val="0056468B"/>
    <w:rsid w:val="00634AF5"/>
    <w:rsid w:val="00686E6E"/>
    <w:rsid w:val="00880D4A"/>
    <w:rsid w:val="00933E2A"/>
    <w:rsid w:val="00945566"/>
    <w:rsid w:val="00CD1E42"/>
    <w:rsid w:val="00FA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3F66"/>
  <w15:chartTrackingRefBased/>
  <w15:docId w15:val="{27BC207E-689B-4202-84EF-461A4149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1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4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4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1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1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14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4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4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3A7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A7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A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A76"/>
  </w:style>
  <w:style w:type="paragraph" w:styleId="Stopka">
    <w:name w:val="footer"/>
    <w:basedOn w:val="Normalny"/>
    <w:link w:val="StopkaZnak"/>
    <w:uiPriority w:val="99"/>
    <w:unhideWhenUsed/>
    <w:rsid w:val="00FA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odo.gov.pl/pl/p/kontak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Zawadzka | Łukasiewicz – ICSO</dc:creator>
  <cp:keywords/>
  <dc:description/>
  <cp:lastModifiedBy>Joanna Wilk | Łukasiewicz – ICSO</cp:lastModifiedBy>
  <cp:revision>3</cp:revision>
  <dcterms:created xsi:type="dcterms:W3CDTF">2026-02-05T13:17:00Z</dcterms:created>
  <dcterms:modified xsi:type="dcterms:W3CDTF">2026-02-10T12:51:00Z</dcterms:modified>
</cp:coreProperties>
</file>